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Job Description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Name: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Staff ID Number: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Key Responsibilities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1.</w:t>
        <w:tab/>
        <w:t xml:space="preserve">Patrolling and Monitoring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Conduct regular patrols of the premises to deter and detect security breaches.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Ensure all access points are secure and report any anomalies.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2.</w:t>
        <w:tab/>
        <w:t xml:space="preserve">Access Control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Manage access control systems to ensure only authorized personnel enter restricted areas.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Check identification and issue visitor badges as required.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Maintain accurate records of all visitors and contractors.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3.</w:t>
        <w:tab/>
        <w:t xml:space="preserve">Incident Response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Respond promptly to security incidents and emergencies, including fire alarms, medical emergencies, and unauthorized access.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Implement emergency procedures and provide first aid if necessary.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Liaise with emergency services as required.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4.</w:t>
        <w:tab/>
        <w:t xml:space="preserve">Reporting and Documentation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Maintain detailed and accurate records of daily activities, incidents, and irregularities.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Prepare incident reports and submit them to the Security Manager.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Ensure compliance with data protection regulations when handling sensitive information.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5.</w:t>
        <w:tab/>
        <w:t xml:space="preserve">Customer Service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Provide assistance and information to staff, visitors, and contractors in a professional and courteous manner.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Address queries and concerns promptly and effectively.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Promote a positive image of the security team and the organization.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6.</w:t>
        <w:tab/>
        <w:t xml:space="preserve">Compliance and Training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Adhere to all legal requirements, company policies, and COP 119 standards.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Participate in regular training sessions to maintain and enhance skills and knowledge.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Stay updated on relevant legislation, regulations, and best practices in security management.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7.</w:t>
        <w:tab/>
        <w:t xml:space="preserve">Health and Safety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Ensure compliance with health and safety regulations and procedures.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Identify and report potential hazards and risks to the appropriate personnel.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Promote a safe working environment for all staff and visitors.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Key Requirements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1.</w:t>
        <w:tab/>
        <w:t xml:space="preserve">Qualifications and Experience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SIA (Security Industry Authority) license is mandatory.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Previous experience in a security role is preferred.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First aid certification is desirable.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2.</w:t>
        <w:tab/>
        <w:t xml:space="preserve">Skills and Competencies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Excellent observational and surveillance skills.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Strong communication and interpersonal skills.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Ability to remain calm and composed in stressful situations.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Good report writing and documentation skills.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Proficiency in using security equipment and systems.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3.</w:t>
        <w:tab/>
        <w:t xml:space="preserve">Personal Attributes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High level of integrity and professionalism.</w:t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Strong sense of responsibility and duty of care.</w:t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Ability to work independently and as part of a team.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o</w:t>
        <w:tab/>
        <w:t xml:space="preserve">Flexible approach to working hours, including nights and weekends.</w:t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Physical Requirements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Ability to stand or walk for extended periods.</w:t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Ability to respond quickly to emergencies.</w:t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Physical fitness to perform patrolling and incident response duties.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Compliance and Legal Requirements</w:t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Adhere to the Private Security Industry Act 2001 and other relevant legislation.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Ensure compliance with COP 119 standards and company policies.</w:t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Maintain confidentiality and data protection standards at all times.</w:t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Performance Indicators</w:t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Number of incidents detected and resolved.</w:t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Compliance with security protocols and procedures.</w:t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Quality and accuracy of incident reports.</w:t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•</w:t>
        <w:tab/>
        <w:t xml:space="preserve">Customer satisfaction and feedback.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Signed: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Date: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/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96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Date: </w:t>
    </w:r>
    <w:r w:rsidDel="00000000" w:rsidR="00000000" w:rsidRPr="00000000">
      <w:rPr>
        <w:sz w:val="16"/>
        <w:szCs w:val="16"/>
        <w:rtl w:val="0"/>
      </w:rPr>
      <w:t xml:space="preserve">01/02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/202</w:t>
    </w:r>
    <w:r w:rsidDel="00000000" w:rsidR="00000000" w:rsidRPr="00000000">
      <w:rPr>
        <w:sz w:val="16"/>
        <w:szCs w:val="16"/>
        <w:rtl w:val="0"/>
      </w:rPr>
      <w:t xml:space="preserve">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Job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96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01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02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.202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